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91 vom 13. Februar 2012</w:t>
      </w:r>
    </w:p>
    <w:p>
      <w:r>
        <w:t>GR Gerichte, 2012-02-13, DE</w:t>
      </w:r>
    </w:p>
    <w:p>
      <w:r>
        <w:rPr>
          <w:b/>
        </w:rPr>
        <w:t xml:space="preserve">Quelle: </w:t>
      </w:r>
      <w:r>
        <w:t>https://mcp.opencaselaw.ch/entscheid/gr_gerichte_ZK1 2011 91</w:t>
      </w:r>
    </w:p>
    <w:p>
      <w:r>
        <w:t>FR: GR_GERICHTE ZK1 2011 91 du 13 février 2012</w:t>
      </w:r>
    </w:p>
    <w:p>
      <w:r>
        <w:t>IT: GR_GERICHTE ZK1 2011 91 del 13 febbraio 2012</w:t>
      </w:r>
    </w:p>
    <w:p>
      <w:pPr>
        <w:pStyle w:val="Heading2"/>
      </w:pPr>
      <w:r>
        <w:t>Regeste</w:t>
      </w:r>
    </w:p>
    <w:p>
      <w:r>
        <w:t>vorsorgliche Massnahmen (Wasserdurchleitungsrecht) | Berufung ZGB Sachenrecht</w:t>
      </w:r>
    </w:p>
    <w:p>
      <w:pPr>
        <w:pStyle w:val="Heading2"/>
      </w:pPr>
      <w:r>
        <w:t>Erwägungen</w:t>
      </w:r>
    </w:p>
    <w:p>
      <w:r>
        <w:rPr>
          <w:b/>
        </w:rPr>
        <w:t>E. 2</w:t>
      </w:r>
    </w:p>
    <w:p>
      <w:r>
        <w:t>Die richterlichen Anordnungen gemäss Ziff. 1 seien unter Hinweis auf die Straffolgen von Art. 292 StGB zu erlassen.</w:t>
      </w:r>
    </w:p>
    <w:p>
      <w:r>
        <w:rPr>
          <w:b/>
        </w:rPr>
        <w:t>E. 3</w:t>
      </w:r>
    </w:p>
    <w:p>
      <w:r>
        <w:t>Dieser Entscheid ergeht unter Androhung der Straffolgen nach Art. 343 Abs. 1 lit. a ZPO i.V.m. Art. 292 StGB, wonach mit Busse bestraft wird, wer der von einer zuständigen Behörde oder einem zuständigen Beamten unter Hinweis auf die Strafandrohung dieses Artikels an ihn erlassenen Verfügung nicht Folge leistet.</w:t>
      </w:r>
    </w:p>
    <w:p>
      <w:r>
        <w:rPr>
          <w:b/>
        </w:rPr>
        <w:t>E. 4</w:t>
      </w:r>
    </w:p>
    <w:p>
      <w:r>
        <w:t>(Kosten/aussergerichtliche Entschädigung).</w:t>
      </w:r>
    </w:p>
    <w:p>
      <w:r>
        <w:rPr>
          <w:b/>
        </w:rPr>
        <w:t>E. 5</w:t>
      </w:r>
    </w:p>
    <w:p>
      <w:r>
        <w:t>(Rechtsmittelbelehrung).</w:t>
      </w:r>
    </w:p>
    <w:p>
      <w:r>
        <w:rPr>
          <w:b/>
        </w:rPr>
        <w:t>E. 6</w:t>
      </w:r>
    </w:p>
    <w:p>
      <w:r>
        <w:t>Bei diesem Ausgang des Verfahrens werden die Prozesskosten, bestehend aus den Gerichtskosten und der Parteientschädigung (Art. 95 Abs. 1 ZPO), der unterliegenden Partei auferlegt (Art. 106 Abs. 1 ZPO). Der berufungsbeklagtische Rechtsvertreter, Rechtsanwalt lic. iur. Remo Cahenzli, beantragt in Ziffer 3 der Rechtsbegehren eine ausseramtliche Entschädigung in Höhe von Fr. 1’392.80 (inkl. MWSt). Gemäss eingereichter Honorarnote (act. C.3) entspricht dies einem Aufwand von 5 Stunden 10 Minuten zum vereinbarten Stundenansatz von Fr. 240.-- (vgl. BB 18) zuzüglich einer Spesenpauschale von 4 % und der Mehrwert- steuer von 8 %. Der geltend gemachte Aufwand erscheint angesichts der sich stel- lenden Sach- und Rechtsfragen sowie des Umfangs der Berufungsantwort als an- gemessen und ist deshalb von der Gegenseite zu entschädigen.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